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 w:lineRule="atLeast"/>
        <w:rPr>
          <w:rFonts w:ascii="华文中宋" w:hAnsi="华文中宋" w:eastAsia="华文中宋"/>
          <w:b/>
          <w:spacing w:val="-22"/>
          <w:sz w:val="48"/>
          <w:szCs w:val="48"/>
        </w:rPr>
      </w:pPr>
      <w:r>
        <w:rPr>
          <w:rFonts w:hint="eastAsia" w:ascii="华文中宋" w:hAnsi="华文中宋" w:eastAsia="华文中宋"/>
          <w:b/>
          <w:spacing w:val="-22"/>
          <w:sz w:val="48"/>
          <w:szCs w:val="48"/>
        </w:rPr>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1162050" cy="647700"/>
            <wp:effectExtent l="19050" t="0" r="0" b="0"/>
            <wp:wrapSquare wrapText="bothSides"/>
            <wp:docPr id="3" name="图片 2" descr="C:\微云同步盘\16532219\APP\睿财微信服务号正式\睿益会计师事务所LOGO.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C:\微云同步盘\16532219\APP\睿财微信服务号正式\睿益会计师事务所LOGO.pn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1162050" cy="647700"/>
                    </a:xfrm>
                    <a:prstGeom prst="rect">
                      <a:avLst/>
                    </a:prstGeom>
                    <a:noFill/>
                    <a:ln>
                      <a:noFill/>
                    </a:ln>
                  </pic:spPr>
                </pic:pic>
              </a:graphicData>
            </a:graphic>
          </wp:anchor>
        </w:drawing>
      </w:r>
      <w:r>
        <w:rPr>
          <w:rFonts w:hint="eastAsia" w:ascii="华文中宋" w:hAnsi="华文中宋" w:eastAsia="华文中宋"/>
          <w:b/>
          <w:spacing w:val="-22"/>
          <w:sz w:val="48"/>
          <w:szCs w:val="48"/>
        </w:rPr>
        <w:t>上 海 睿 益 会 计 师 事 务 所</w:t>
      </w:r>
    </w:p>
    <w:p>
      <w:pPr>
        <w:snapToGrid w:val="0"/>
        <w:spacing w:line="60" w:lineRule="atLeast"/>
        <w:rPr>
          <w:rFonts w:ascii="华文中宋" w:hAnsi="华文中宋" w:eastAsia="华文中宋"/>
          <w:b/>
          <w:spacing w:val="-22"/>
          <w:sz w:val="18"/>
          <w:szCs w:val="18"/>
        </w:rPr>
      </w:pPr>
      <w:r>
        <w:rPr>
          <w:rFonts w:hint="eastAsia"/>
          <w:spacing w:val="20"/>
          <w:sz w:val="18"/>
          <w:szCs w:val="18"/>
        </w:rPr>
        <w:t>地址：上海市静安区汉中路158号</w:t>
      </w:r>
      <w:r>
        <w:rPr>
          <w:spacing w:val="20"/>
          <w:sz w:val="18"/>
          <w:szCs w:val="18"/>
        </w:rPr>
        <w:t>803</w:t>
      </w:r>
      <w:r>
        <w:rPr>
          <w:rFonts w:hint="eastAsia"/>
          <w:spacing w:val="20"/>
          <w:sz w:val="18"/>
          <w:szCs w:val="18"/>
        </w:rPr>
        <w:t>室  电话：021-36368300</w:t>
      </w:r>
    </w:p>
    <w:p>
      <w:pPr>
        <w:pBdr>
          <w:bottom w:val="single" w:color="auto" w:sz="18" w:space="1"/>
        </w:pBdr>
        <w:spacing w:line="0" w:lineRule="atLeast"/>
        <w:jc w:val="center"/>
        <w:rPr>
          <w:spacing w:val="20"/>
          <w:sz w:val="11"/>
          <w:szCs w:val="11"/>
        </w:rPr>
      </w:pPr>
    </w:p>
    <w:p>
      <w:pPr>
        <w:spacing w:line="360" w:lineRule="auto"/>
        <w:jc w:val="center"/>
        <w:rPr>
          <w:rFonts w:ascii="宋体" w:hAnsi="宋体" w:cs="Mangal"/>
          <w:b/>
          <w:sz w:val="40"/>
          <w:szCs w:val="40"/>
        </w:rPr>
      </w:pPr>
    </w:p>
    <w:p>
      <w:pPr>
        <w:snapToGrid w:val="0"/>
        <w:spacing w:line="360" w:lineRule="auto"/>
        <w:jc w:val="center"/>
        <w:rPr>
          <w:rFonts w:asciiTheme="majorEastAsia" w:hAnsiTheme="majorEastAsia" w:eastAsiaTheme="majorEastAsia"/>
          <w:b/>
          <w:sz w:val="36"/>
          <w:szCs w:val="36"/>
        </w:rPr>
      </w:pPr>
      <w:r>
        <w:rPr>
          <w:rFonts w:asciiTheme="majorEastAsia" w:hAnsiTheme="majorEastAsia" w:eastAsiaTheme="majorEastAsia"/>
          <w:b/>
          <w:sz w:val="36"/>
          <w:szCs w:val="36"/>
        </w:rPr>
        <w:t>审</w:t>
      </w: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计</w:t>
      </w: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报</w:t>
      </w: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告</w:t>
      </w:r>
    </w:p>
    <w:p>
      <w:pPr>
        <w:spacing w:line="360" w:lineRule="auto"/>
        <w:jc w:val="right"/>
        <w:rPr>
          <w:sz w:val="24"/>
        </w:rPr>
      </w:pPr>
    </w:p>
    <w:p>
      <w:pPr>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睿益会师报字（202</w:t>
      </w:r>
      <w:r>
        <w:rPr>
          <w:rFonts w:asciiTheme="minorEastAsia" w:hAnsiTheme="minorEastAsia" w:eastAsiaTheme="minorEastAsia"/>
          <w:sz w:val="24"/>
        </w:rPr>
        <w:t>4</w:t>
      </w:r>
      <w:r>
        <w:rPr>
          <w:rFonts w:hint="eastAsia" w:asciiTheme="minorEastAsia" w:hAnsiTheme="minorEastAsia" w:eastAsiaTheme="minorEastAsia"/>
          <w:sz w:val="24"/>
        </w:rPr>
        <w:t>）SJ</w:t>
      </w:r>
      <w:r>
        <w:rPr>
          <w:rFonts w:asciiTheme="minorEastAsia" w:hAnsiTheme="minorEastAsia" w:eastAsiaTheme="minorEastAsia"/>
          <w:sz w:val="24"/>
        </w:rPr>
        <w:t xml:space="preserve">    </w:t>
      </w:r>
      <w:r>
        <w:rPr>
          <w:rFonts w:hint="eastAsia" w:asciiTheme="minorEastAsia" w:hAnsiTheme="minorEastAsia" w:eastAsiaTheme="minorEastAsia"/>
          <w:sz w:val="24"/>
        </w:rPr>
        <w:t>号</w:t>
      </w:r>
    </w:p>
    <w:p>
      <w:pPr>
        <w:snapToGrid w:val="0"/>
        <w:spacing w:line="500" w:lineRule="exact"/>
        <w:rPr>
          <w:rFonts w:asciiTheme="minorEastAsia" w:hAnsiTheme="minorEastAsia" w:eastAsiaTheme="minorEastAsia"/>
          <w:b/>
          <w:sz w:val="24"/>
        </w:rPr>
      </w:pPr>
      <w:r>
        <w:rPr>
          <w:rFonts w:hint="eastAsia" w:asciiTheme="minorEastAsia" w:hAnsiTheme="minorEastAsia" w:eastAsiaTheme="minorEastAsia"/>
          <w:b/>
          <w:sz w:val="24"/>
        </w:rPr>
        <w:t>上海市静安区临汾社区社会组织联合会</w:t>
      </w:r>
      <w:r>
        <w:rPr>
          <w:rFonts w:asciiTheme="minorEastAsia" w:hAnsiTheme="minorEastAsia" w:eastAsiaTheme="minorEastAsia"/>
          <w:b/>
          <w:sz w:val="24"/>
        </w:rPr>
        <w:t>：</w:t>
      </w:r>
    </w:p>
    <w:p>
      <w:pPr>
        <w:snapToGrid w:val="0"/>
        <w:spacing w:line="500" w:lineRule="exact"/>
        <w:ind w:firstLine="510"/>
        <w:rPr>
          <w:rFonts w:asciiTheme="minorEastAsia" w:hAnsiTheme="minorEastAsia" w:eastAsiaTheme="minorEastAsia"/>
          <w:b/>
          <w:sz w:val="24"/>
        </w:rPr>
      </w:pPr>
      <w:r>
        <w:rPr>
          <w:rFonts w:asciiTheme="minorEastAsia" w:hAnsiTheme="minorEastAsia" w:eastAsiaTheme="minorEastAsia"/>
          <w:b/>
          <w:sz w:val="24"/>
        </w:rPr>
        <w:t>一、审计意见</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我们审计了</w:t>
      </w:r>
      <w:r>
        <w:rPr>
          <w:rFonts w:hint="eastAsia" w:asciiTheme="minorEastAsia" w:hAnsiTheme="minorEastAsia" w:eastAsiaTheme="minorEastAsia"/>
          <w:sz w:val="24"/>
        </w:rPr>
        <w:t>上海市静安区临汾社区社会组织联合会</w:t>
      </w:r>
      <w:r>
        <w:rPr>
          <w:rFonts w:asciiTheme="minorEastAsia" w:hAnsiTheme="minorEastAsia" w:eastAsiaTheme="minorEastAsia"/>
          <w:sz w:val="24"/>
        </w:rPr>
        <w:t>（以下简称</w:t>
      </w:r>
      <w:r>
        <w:rPr>
          <w:rFonts w:hint="eastAsia" w:asciiTheme="minorEastAsia" w:hAnsiTheme="minorEastAsia" w:eastAsiaTheme="minorEastAsia"/>
          <w:sz w:val="24"/>
        </w:rPr>
        <w:t>贵单位</w:t>
      </w:r>
      <w:r>
        <w:rPr>
          <w:rFonts w:asciiTheme="minorEastAsia" w:hAnsiTheme="minorEastAsia" w:eastAsiaTheme="minorEastAsia"/>
          <w:sz w:val="24"/>
        </w:rPr>
        <w:t>）财务报表，包括2023年12月31日的资产负债表，2023年度的</w:t>
      </w:r>
      <w:r>
        <w:rPr>
          <w:rFonts w:hint="eastAsia" w:asciiTheme="minorEastAsia" w:hAnsiTheme="minorEastAsia" w:eastAsiaTheme="minorEastAsia"/>
          <w:sz w:val="24"/>
        </w:rPr>
        <w:t>业务活动表</w:t>
      </w:r>
      <w:r>
        <w:rPr>
          <w:rFonts w:asciiTheme="minorEastAsia" w:hAnsiTheme="minorEastAsia" w:eastAsiaTheme="minorEastAsia"/>
          <w:sz w:val="24"/>
        </w:rPr>
        <w:t>、现金流量表以及相关财务报表附注。</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我们认为，后附的财务报表在所有重大方面按照</w:t>
      </w:r>
      <w:r>
        <w:rPr>
          <w:rFonts w:hint="eastAsia" w:asciiTheme="minorEastAsia" w:hAnsiTheme="minorEastAsia" w:eastAsiaTheme="minorEastAsia"/>
          <w:sz w:val="24"/>
        </w:rPr>
        <w:t>《民办非企业单位登记管理暂行条例》和《民间非营利组织会计制度》的规定编制</w:t>
      </w:r>
      <w:r>
        <w:rPr>
          <w:rFonts w:asciiTheme="minorEastAsia" w:hAnsiTheme="minorEastAsia" w:eastAsiaTheme="minorEastAsia"/>
          <w:sz w:val="24"/>
        </w:rPr>
        <w:t>，公允反映了</w:t>
      </w:r>
      <w:r>
        <w:rPr>
          <w:rFonts w:hint="eastAsia" w:asciiTheme="minorEastAsia" w:hAnsiTheme="minorEastAsia" w:eastAsiaTheme="minorEastAsia"/>
          <w:sz w:val="24"/>
        </w:rPr>
        <w:t>贵单位</w:t>
      </w:r>
      <w:r>
        <w:rPr>
          <w:rFonts w:asciiTheme="minorEastAsia" w:hAnsiTheme="minorEastAsia" w:eastAsiaTheme="minorEastAsia"/>
          <w:sz w:val="24"/>
        </w:rPr>
        <w:t>2023年12月31日的财务状况以及2023年度的</w:t>
      </w:r>
      <w:r>
        <w:rPr>
          <w:rFonts w:hint="eastAsia" w:asciiTheme="minorEastAsia" w:hAnsiTheme="minorEastAsia" w:eastAsiaTheme="minorEastAsia"/>
          <w:sz w:val="24"/>
        </w:rPr>
        <w:t>业务活动成果</w:t>
      </w:r>
      <w:r>
        <w:rPr>
          <w:rFonts w:asciiTheme="minorEastAsia" w:hAnsiTheme="minorEastAsia" w:eastAsiaTheme="minorEastAsia"/>
          <w:sz w:val="24"/>
        </w:rPr>
        <w:t>和现金流量。</w:t>
      </w:r>
    </w:p>
    <w:p>
      <w:pPr>
        <w:spacing w:line="500" w:lineRule="exact"/>
        <w:ind w:firstLine="510"/>
        <w:rPr>
          <w:rFonts w:asciiTheme="minorEastAsia" w:hAnsiTheme="minorEastAsia" w:eastAsiaTheme="minorEastAsia"/>
          <w:b/>
          <w:sz w:val="24"/>
        </w:rPr>
      </w:pPr>
    </w:p>
    <w:p>
      <w:pPr>
        <w:spacing w:line="500" w:lineRule="exact"/>
        <w:ind w:firstLine="510"/>
        <w:rPr>
          <w:rFonts w:asciiTheme="minorEastAsia" w:hAnsiTheme="minorEastAsia" w:eastAsiaTheme="minorEastAsia"/>
          <w:b/>
          <w:sz w:val="24"/>
        </w:rPr>
      </w:pPr>
      <w:r>
        <w:rPr>
          <w:rFonts w:asciiTheme="minorEastAsia" w:hAnsiTheme="minorEastAsia" w:eastAsiaTheme="minorEastAsia"/>
          <w:b/>
          <w:sz w:val="24"/>
        </w:rPr>
        <w:t>二、形成审计意见的基础</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我们按照中国注册会计师审计准则的规定执行了审计工作。审计报告的“注册会计师对财务报表审计的责任”部分进一步阐述了我们在这些准则下的责任。按照中国注册会计师职业道德守则，我们独立于</w:t>
      </w:r>
      <w:r>
        <w:rPr>
          <w:rFonts w:hint="eastAsia" w:asciiTheme="minorEastAsia" w:hAnsiTheme="minorEastAsia" w:eastAsiaTheme="minorEastAsia"/>
          <w:sz w:val="24"/>
        </w:rPr>
        <w:t>贵单位</w:t>
      </w:r>
      <w:r>
        <w:rPr>
          <w:rFonts w:asciiTheme="minorEastAsia" w:hAnsiTheme="minorEastAsia" w:eastAsiaTheme="minorEastAsia"/>
          <w:sz w:val="24"/>
        </w:rPr>
        <w:t>，并履行了职业道德方面的其他责任。我们相信，我们获取的审计证据是充分、适当的，为发表审计意见提供了基础。</w:t>
      </w:r>
    </w:p>
    <w:p>
      <w:pPr>
        <w:spacing w:line="500" w:lineRule="exact"/>
        <w:ind w:firstLine="510"/>
        <w:rPr>
          <w:rFonts w:asciiTheme="minorEastAsia" w:hAnsiTheme="minorEastAsia" w:eastAsiaTheme="minorEastAsia"/>
          <w:b/>
          <w:sz w:val="24"/>
        </w:rPr>
      </w:pPr>
    </w:p>
    <w:p>
      <w:pPr>
        <w:spacing w:line="500" w:lineRule="exact"/>
        <w:ind w:firstLine="51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其他事项</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贵单位2022年12月31日的资产负债表、2023年度的业务活动表、现金流量表以及相关财务报表附注未经审计。</w:t>
      </w:r>
    </w:p>
    <w:p>
      <w:pPr>
        <w:spacing w:line="500" w:lineRule="exact"/>
        <w:ind w:firstLine="510"/>
        <w:rPr>
          <w:rFonts w:asciiTheme="minorEastAsia" w:hAnsiTheme="minorEastAsia" w:eastAsiaTheme="minorEastAsia"/>
          <w:b/>
          <w:sz w:val="24"/>
        </w:rPr>
      </w:pPr>
    </w:p>
    <w:p>
      <w:pPr>
        <w:spacing w:line="500" w:lineRule="exact"/>
        <w:ind w:firstLine="510"/>
        <w:rPr>
          <w:rFonts w:asciiTheme="minorEastAsia" w:hAnsiTheme="minorEastAsia" w:eastAsiaTheme="minorEastAsia"/>
          <w:b/>
          <w:sz w:val="24"/>
        </w:rPr>
      </w:pPr>
      <w:r>
        <w:rPr>
          <w:rFonts w:asciiTheme="minorEastAsia" w:hAnsiTheme="minorEastAsia" w:eastAsiaTheme="minorEastAsia"/>
          <w:b/>
          <w:sz w:val="24"/>
        </w:rPr>
        <w:t>三、管理层和治理层对财务报表的责任</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贵单位</w:t>
      </w:r>
      <w:r>
        <w:rPr>
          <w:rFonts w:asciiTheme="minorEastAsia" w:hAnsiTheme="minorEastAsia" w:eastAsiaTheme="minorEastAsia"/>
          <w:sz w:val="24"/>
        </w:rPr>
        <w:t>管理层（以下简称管理层）负责按照</w:t>
      </w:r>
      <w:bookmarkStart w:id="0" w:name="_GoBack"/>
      <w:bookmarkEnd w:id="0"/>
      <w:r>
        <w:rPr>
          <w:rFonts w:hint="eastAsia" w:asciiTheme="minorEastAsia" w:hAnsiTheme="minorEastAsia" w:eastAsiaTheme="minorEastAsia"/>
          <w:sz w:val="24"/>
        </w:rPr>
        <w:t>《民办非企业单位登记管理暂行条例》和《民间非营利组织会计制度》</w:t>
      </w:r>
      <w:r>
        <w:rPr>
          <w:rFonts w:asciiTheme="minorEastAsia" w:hAnsiTheme="minorEastAsia" w:eastAsiaTheme="minorEastAsia"/>
          <w:sz w:val="24"/>
        </w:rPr>
        <w:t>的规定编制财务报表，使其实现公允反映，并设计、执行和维护必要的内部控制，以使财务报表不存在由于舞弊或错误导致的重大错报。</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在编制财务报表时，管理层负责评估</w:t>
      </w:r>
      <w:r>
        <w:rPr>
          <w:rFonts w:hint="eastAsia" w:asciiTheme="minorEastAsia" w:hAnsiTheme="minorEastAsia" w:eastAsiaTheme="minorEastAsia"/>
          <w:sz w:val="24"/>
        </w:rPr>
        <w:t>贵单位</w:t>
      </w:r>
      <w:r>
        <w:rPr>
          <w:rFonts w:asciiTheme="minorEastAsia" w:hAnsiTheme="minorEastAsia" w:eastAsiaTheme="minorEastAsia"/>
          <w:sz w:val="24"/>
        </w:rPr>
        <w:t>的持续经营能力，披露与持续经营相关的事项，并运用持续经营假设，除非管理层计划清算</w:t>
      </w:r>
      <w:r>
        <w:rPr>
          <w:rFonts w:hint="eastAsia" w:asciiTheme="minorEastAsia" w:hAnsiTheme="minorEastAsia" w:eastAsiaTheme="minorEastAsia"/>
          <w:sz w:val="24"/>
        </w:rPr>
        <w:t>贵单位</w:t>
      </w:r>
      <w:r>
        <w:rPr>
          <w:rFonts w:asciiTheme="minorEastAsia" w:hAnsiTheme="minorEastAsia" w:eastAsiaTheme="minorEastAsia"/>
          <w:sz w:val="24"/>
        </w:rPr>
        <w:t>、终止运营或别无其他现实的选择。</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治理层负责监督</w:t>
      </w:r>
      <w:r>
        <w:rPr>
          <w:rFonts w:hint="eastAsia" w:asciiTheme="minorEastAsia" w:hAnsiTheme="minorEastAsia" w:eastAsiaTheme="minorEastAsia"/>
          <w:sz w:val="24"/>
        </w:rPr>
        <w:t>对贵单位</w:t>
      </w:r>
      <w:r>
        <w:rPr>
          <w:rFonts w:asciiTheme="minorEastAsia" w:hAnsiTheme="minorEastAsia" w:eastAsiaTheme="minorEastAsia"/>
          <w:sz w:val="24"/>
        </w:rPr>
        <w:t>的财务报告过程。</w:t>
      </w:r>
    </w:p>
    <w:p>
      <w:pPr>
        <w:spacing w:line="500" w:lineRule="exact"/>
        <w:ind w:firstLine="510"/>
        <w:rPr>
          <w:rFonts w:asciiTheme="minorEastAsia" w:hAnsiTheme="minorEastAsia" w:eastAsiaTheme="minorEastAsia"/>
          <w:sz w:val="24"/>
        </w:rPr>
      </w:pPr>
    </w:p>
    <w:p>
      <w:pPr>
        <w:spacing w:line="500" w:lineRule="exact"/>
        <w:ind w:firstLine="51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、注册会计师对财务报表审计的责任</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在按照审计准则执行审计工作的过程中，我们运用职业判断，并保持职业怀疑。同时，我们也执行以下工作：</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⑴</w:t>
      </w:r>
      <w:r>
        <w:rPr>
          <w:rFonts w:asciiTheme="minorEastAsia" w:hAnsiTheme="minorEastAsia"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⑵</w:t>
      </w:r>
      <w:r>
        <w:rPr>
          <w:rFonts w:asciiTheme="minorEastAsia" w:hAnsiTheme="minorEastAsia" w:eastAsiaTheme="minorEastAsia"/>
          <w:sz w:val="24"/>
        </w:rPr>
        <w:t>了解与审计相关的内部控制，以设计恰当的审计程序，但目的并非对内部控制的有效性发表意见。</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⑶</w:t>
      </w:r>
      <w:r>
        <w:rPr>
          <w:rFonts w:asciiTheme="minorEastAsia" w:hAnsiTheme="minorEastAsia" w:eastAsiaTheme="minorEastAsia"/>
          <w:sz w:val="24"/>
        </w:rPr>
        <w:t>评价管理层选用会计政策的恰当性和作出会计估计及相关披露的合理性。</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⑷</w:t>
      </w:r>
      <w:r>
        <w:rPr>
          <w:rFonts w:asciiTheme="minorEastAsia" w:hAnsiTheme="minorEastAsia" w:eastAsiaTheme="minorEastAsia"/>
          <w:sz w:val="24"/>
        </w:rPr>
        <w:t>对管理层使用持续经营假设的恰当性得出结论。同时，根据获取的审计证据，就可能导致对</w:t>
      </w:r>
      <w:r>
        <w:rPr>
          <w:rFonts w:hint="eastAsia" w:asciiTheme="minorEastAsia" w:hAnsiTheme="minorEastAsia" w:eastAsiaTheme="minorEastAsia"/>
          <w:sz w:val="24"/>
        </w:rPr>
        <w:t>贵单位</w:t>
      </w:r>
      <w:r>
        <w:rPr>
          <w:rFonts w:asciiTheme="minorEastAsia" w:hAnsiTheme="minorEastAsia"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hint="eastAsia" w:asciiTheme="minorEastAsia" w:hAnsiTheme="minorEastAsia" w:eastAsiaTheme="minorEastAsia"/>
          <w:sz w:val="24"/>
        </w:rPr>
        <w:t>贵单位</w:t>
      </w:r>
      <w:r>
        <w:rPr>
          <w:rFonts w:asciiTheme="minorEastAsia" w:hAnsiTheme="minorEastAsia" w:eastAsiaTheme="minorEastAsia"/>
          <w:sz w:val="24"/>
        </w:rPr>
        <w:t>不能持续经营。</w:t>
      </w:r>
    </w:p>
    <w:p>
      <w:pPr>
        <w:spacing w:line="500" w:lineRule="exact"/>
        <w:ind w:firstLine="510"/>
        <w:rPr>
          <w:rFonts w:asciiTheme="minorEastAsia" w:hAnsiTheme="minorEastAsia" w:eastAsiaTheme="minorEastAsia"/>
          <w:sz w:val="24"/>
        </w:rPr>
      </w:pPr>
      <w:r>
        <w:rPr>
          <w:rFonts w:hint="eastAsia" w:asciiTheme="minorEastAsia" w:hAnsiTheme="minorEastAsia" w:eastAsiaTheme="minorEastAsia"/>
          <w:sz w:val="24"/>
        </w:rPr>
        <w:t>⑸</w:t>
      </w:r>
      <w:r>
        <w:rPr>
          <w:rFonts w:asciiTheme="minorEastAsia" w:hAnsiTheme="minorEastAsia" w:eastAsiaTheme="minorEastAsia"/>
          <w:sz w:val="24"/>
        </w:rPr>
        <w:t>评价财务报表的总体列报、结构和内容，并评价财务报表是否公允反映相关交易和事项。</w:t>
      </w:r>
    </w:p>
    <w:p>
      <w:pPr>
        <w:spacing w:line="500" w:lineRule="exact"/>
        <w:ind w:firstLine="510"/>
        <w:rPr>
          <w:rFonts w:asciiTheme="minorEastAsia" w:hAnsiTheme="minorEastAsia" w:eastAsiaTheme="minorEastAsia"/>
          <w:sz w:val="24"/>
        </w:rPr>
      </w:pPr>
      <w:r>
        <w:rPr>
          <w:rFonts w:asciiTheme="minorEastAsia" w:hAnsiTheme="minorEastAsia" w:eastAsiaTheme="minorEastAsia"/>
          <w:sz w:val="24"/>
        </w:rPr>
        <w:t>我们与治理层就计划的审计范围、时间安排和重大审计发现等事项进行沟通，包括沟通我们在审计中识别出的值得关注的内部控制缺陷。</w:t>
      </w:r>
    </w:p>
    <w:p>
      <w:pPr>
        <w:spacing w:line="500" w:lineRule="exact"/>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gridCol w:w="3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70" w:type="dxa"/>
          </w:tcPr>
          <w:p>
            <w:pPr>
              <w:tabs>
                <w:tab w:val="left" w:pos="4678"/>
                <w:tab w:val="left" w:pos="4820"/>
                <w:tab w:val="left" w:pos="5103"/>
              </w:tabs>
              <w:spacing w:line="480" w:lineRule="auto"/>
              <w:ind w:right="-88"/>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上海睿益会计师事务所（普通合伙）</w:t>
            </w:r>
          </w:p>
        </w:tc>
        <w:tc>
          <w:tcPr>
            <w:tcW w:w="3452" w:type="dxa"/>
          </w:tcPr>
          <w:p>
            <w:pPr>
              <w:tabs>
                <w:tab w:val="left" w:pos="4678"/>
                <w:tab w:val="left" w:pos="4820"/>
                <w:tab w:val="left" w:pos="5103"/>
              </w:tabs>
              <w:spacing w:line="480" w:lineRule="auto"/>
              <w:ind w:right="-88"/>
              <w:rPr>
                <w:rFonts w:asciiTheme="minorEastAsia" w:hAnsiTheme="minorEastAsia" w:eastAsiaTheme="minorEastAsia" w:cstheme="minorBidi"/>
                <w:sz w:val="24"/>
              </w:rPr>
            </w:pPr>
            <w:r>
              <w:rPr>
                <w:rFonts w:hint="eastAsia" w:asciiTheme="minorEastAsia" w:hAnsiTheme="minorEastAsia" w:eastAsiaTheme="minorEastAsia" w:cstheme="minorBidi"/>
                <w:sz w:val="24"/>
              </w:rPr>
              <w:t>中国注册会计师：</w:t>
            </w:r>
          </w:p>
          <w:p>
            <w:pPr>
              <w:tabs>
                <w:tab w:val="left" w:pos="4678"/>
                <w:tab w:val="left" w:pos="4820"/>
                <w:tab w:val="left" w:pos="5103"/>
              </w:tabs>
              <w:spacing w:line="480" w:lineRule="auto"/>
              <w:ind w:right="-88"/>
              <w:rPr>
                <w:rFonts w:asciiTheme="minorEastAsia" w:hAnsiTheme="minorEastAsia" w:eastAsiaTheme="minorEastAsia" w:cstheme="minorBidi"/>
                <w:sz w:val="24"/>
              </w:rPr>
            </w:pPr>
          </w:p>
          <w:p>
            <w:pPr>
              <w:tabs>
                <w:tab w:val="left" w:pos="4678"/>
                <w:tab w:val="left" w:pos="4820"/>
                <w:tab w:val="left" w:pos="5103"/>
              </w:tabs>
              <w:spacing w:line="480" w:lineRule="auto"/>
              <w:ind w:right="-88"/>
              <w:rPr>
                <w:rFonts w:asciiTheme="minorEastAsia" w:hAnsiTheme="minorEastAsia" w:eastAsiaTheme="minorEastAsia" w:cstheme="minorBid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70" w:type="dxa"/>
          </w:tcPr>
          <w:p>
            <w:pPr>
              <w:tabs>
                <w:tab w:val="left" w:pos="4678"/>
                <w:tab w:val="left" w:pos="4820"/>
                <w:tab w:val="left" w:pos="5103"/>
              </w:tabs>
              <w:spacing w:line="480" w:lineRule="auto"/>
              <w:ind w:right="-88"/>
              <w:jc w:val="center"/>
              <w:rPr>
                <w:rFonts w:asciiTheme="minorEastAsia" w:hAnsiTheme="minorEastAsia" w:eastAsiaTheme="minorEastAsia" w:cstheme="minorBidi"/>
                <w:sz w:val="24"/>
              </w:rPr>
            </w:pPr>
          </w:p>
        </w:tc>
        <w:tc>
          <w:tcPr>
            <w:tcW w:w="3452" w:type="dxa"/>
          </w:tcPr>
          <w:p>
            <w:pPr>
              <w:tabs>
                <w:tab w:val="left" w:pos="4678"/>
                <w:tab w:val="left" w:pos="4820"/>
                <w:tab w:val="left" w:pos="5103"/>
              </w:tabs>
              <w:spacing w:line="480" w:lineRule="auto"/>
              <w:ind w:right="-88"/>
              <w:rPr>
                <w:rFonts w:asciiTheme="minorEastAsia" w:hAnsiTheme="minorEastAsia" w:eastAsiaTheme="minorEastAsia" w:cstheme="minorBidi"/>
                <w:sz w:val="24"/>
              </w:rPr>
            </w:pPr>
            <w:r>
              <w:rPr>
                <w:rFonts w:hint="eastAsia" w:asciiTheme="minorEastAsia" w:hAnsiTheme="minorEastAsia" w:eastAsiaTheme="minorEastAsia" w:cstheme="minorBidi"/>
                <w:sz w:val="24"/>
              </w:rPr>
              <w:t>中国注册会计师：</w:t>
            </w:r>
          </w:p>
          <w:p>
            <w:pPr>
              <w:tabs>
                <w:tab w:val="left" w:pos="4678"/>
                <w:tab w:val="left" w:pos="4820"/>
                <w:tab w:val="left" w:pos="5103"/>
              </w:tabs>
              <w:spacing w:line="480" w:lineRule="auto"/>
              <w:ind w:right="-88"/>
              <w:rPr>
                <w:rFonts w:asciiTheme="minorEastAsia" w:hAnsiTheme="minorEastAsia" w:eastAsiaTheme="minorEastAsia" w:cstheme="minorBidi"/>
                <w:sz w:val="24"/>
              </w:rPr>
            </w:pPr>
          </w:p>
          <w:p>
            <w:pPr>
              <w:tabs>
                <w:tab w:val="left" w:pos="4678"/>
                <w:tab w:val="left" w:pos="4820"/>
                <w:tab w:val="left" w:pos="5103"/>
              </w:tabs>
              <w:spacing w:line="480" w:lineRule="auto"/>
              <w:ind w:right="-88"/>
              <w:rPr>
                <w:rFonts w:asciiTheme="minorEastAsia" w:hAnsiTheme="minorEastAsia" w:eastAsiaTheme="minorEastAsia" w:cstheme="minorBid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70" w:type="dxa"/>
          </w:tcPr>
          <w:p>
            <w:pPr>
              <w:tabs>
                <w:tab w:val="left" w:pos="4678"/>
                <w:tab w:val="left" w:pos="4820"/>
                <w:tab w:val="left" w:pos="5103"/>
              </w:tabs>
              <w:spacing w:line="480" w:lineRule="auto"/>
              <w:ind w:right="-88"/>
              <w:jc w:val="center"/>
              <w:rPr>
                <w:rFonts w:asciiTheme="minorEastAsia" w:hAnsiTheme="minorEastAsia" w:eastAsiaTheme="minorEastAsia" w:cstheme="minorBidi"/>
                <w:sz w:val="24"/>
              </w:rPr>
            </w:pPr>
            <w:r>
              <w:rPr>
                <w:rFonts w:cs="Arial" w:asciiTheme="minorEastAsia" w:hAnsiTheme="minorEastAsia" w:eastAsiaTheme="minorEastAsia"/>
                <w:sz w:val="24"/>
              </w:rPr>
              <w:t>中国</w:t>
            </w:r>
            <w:r>
              <w:rPr>
                <w:rFonts w:hint="eastAsia" w:cs="Arial" w:asciiTheme="minorEastAsia" w:hAnsiTheme="minorEastAsia" w:eastAsiaTheme="minorEastAsia"/>
                <w:sz w:val="24"/>
              </w:rPr>
              <w:t>上海市</w:t>
            </w:r>
          </w:p>
        </w:tc>
        <w:tc>
          <w:tcPr>
            <w:tcW w:w="3452" w:type="dxa"/>
          </w:tcPr>
          <w:p>
            <w:pPr>
              <w:tabs>
                <w:tab w:val="left" w:pos="4678"/>
                <w:tab w:val="left" w:pos="4820"/>
                <w:tab w:val="left" w:pos="5103"/>
              </w:tabs>
              <w:spacing w:line="480" w:lineRule="auto"/>
              <w:ind w:right="-88"/>
              <w:rPr>
                <w:rFonts w:asciiTheme="minorEastAsia" w:hAnsiTheme="minorEastAsia" w:eastAsiaTheme="minorEastAsia" w:cstheme="minorBidi"/>
                <w:sz w:val="24"/>
              </w:rPr>
            </w:pPr>
            <w:r>
              <w:rPr>
                <w:rFonts w:hint="eastAsia" w:cs="Arial" w:asciiTheme="minorEastAsia" w:hAnsiTheme="minorEastAsia" w:eastAsiaTheme="minorEastAsia"/>
                <w:sz w:val="24"/>
              </w:rPr>
              <w:t>202</w:t>
            </w:r>
            <w:r>
              <w:rPr>
                <w:rFonts w:cs="Arial" w:asciiTheme="minorEastAsia" w:hAnsiTheme="minorEastAsia" w:eastAsiaTheme="minorEastAsia"/>
                <w:sz w:val="24"/>
              </w:rPr>
              <w:t>4</w:t>
            </w:r>
            <w:r>
              <w:rPr>
                <w:rFonts w:hint="eastAsia" w:cs="Arial" w:asciiTheme="minorEastAsia" w:hAnsiTheme="minorEastAsia" w:eastAsiaTheme="minorEastAsia"/>
                <w:sz w:val="24"/>
              </w:rPr>
              <w:t>年</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月</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日</w:t>
            </w:r>
          </w:p>
        </w:tc>
      </w:tr>
    </w:tbl>
    <w:p>
      <w:pPr>
        <w:spacing w:line="360" w:lineRule="auto"/>
        <w:rPr>
          <w:rFonts w:asciiTheme="minorEastAsia" w:hAnsiTheme="minorEastAsia" w:eastAsiaTheme="minorEastAsia"/>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Mangal">
    <w:altName w:val="DejaVu Math TeX Gyre"/>
    <w:panose1 w:val="00000400000000000000"/>
    <w:charset w:val="00"/>
    <w:family w:val="roman"/>
    <w:pitch w:val="default"/>
    <w:sig w:usb0="00000000" w:usb1="00000000" w:usb2="00000000" w:usb3="00000000" w:csb0="00000001" w:csb1="00000000"/>
  </w:font>
  <w:font w:name="Arial">
    <w:altName w:val="DejaVu Sans"/>
    <w:panose1 w:val="020B0604020202020204"/>
    <w:charset w:val="00"/>
    <w:family w:val="swiss"/>
    <w:pitch w:val="default"/>
    <w:sig w:usb0="00000000" w:usb1="00000000" w:usb2="00000009" w:usb3="00000000" w:csb0="000001F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rPr>
    </w:pPr>
    <w:r>
      <w:rPr>
        <w:caps/>
        <w:color w:val="4F81BD" w:themeColor="accent1"/>
      </w:rPr>
      <w:fldChar w:fldCharType="begin"/>
    </w:r>
    <w:r>
      <w:rPr>
        <w:caps/>
        <w:color w:val="4F81BD" w:themeColor="accent1"/>
      </w:rPr>
      <w:instrText xml:space="preserve">PAGE   \* MERGEFORMAT</w:instrText>
    </w:r>
    <w:r>
      <w:rPr>
        <w:caps/>
        <w:color w:val="4F81BD" w:themeColor="accent1"/>
      </w:rPr>
      <w:fldChar w:fldCharType="separate"/>
    </w:r>
    <w:r>
      <w:rPr>
        <w:caps/>
        <w:color w:val="4F81BD" w:themeColor="accent1"/>
        <w:lang w:val="zh-CN"/>
      </w:rPr>
      <w:t>3</w:t>
    </w:r>
    <w:r>
      <w:rPr>
        <w:caps/>
        <w:color w:val="4F81BD" w:themeColor="accent1"/>
      </w:rPr>
      <w:fldChar w:fldCharType="end"/>
    </w:r>
  </w:p>
  <w:p>
    <w:pPr>
      <w:pStyle w:val="5"/>
      <w:wordWrap w:val="0"/>
      <w:jc w:val="right"/>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7180"/>
    <w:rsid w:val="00006AC6"/>
    <w:rsid w:val="0002317A"/>
    <w:rsid w:val="0003773C"/>
    <w:rsid w:val="000469C9"/>
    <w:rsid w:val="00051846"/>
    <w:rsid w:val="00065345"/>
    <w:rsid w:val="000826F8"/>
    <w:rsid w:val="000A265B"/>
    <w:rsid w:val="000F3190"/>
    <w:rsid w:val="000F6606"/>
    <w:rsid w:val="00100A5E"/>
    <w:rsid w:val="00102605"/>
    <w:rsid w:val="00114FC5"/>
    <w:rsid w:val="001253E2"/>
    <w:rsid w:val="001342FC"/>
    <w:rsid w:val="001717A9"/>
    <w:rsid w:val="00177BB0"/>
    <w:rsid w:val="00177C92"/>
    <w:rsid w:val="00184B32"/>
    <w:rsid w:val="001C42F7"/>
    <w:rsid w:val="001D53E9"/>
    <w:rsid w:val="001E77D2"/>
    <w:rsid w:val="002217DF"/>
    <w:rsid w:val="00222D13"/>
    <w:rsid w:val="00257530"/>
    <w:rsid w:val="002619DF"/>
    <w:rsid w:val="0027038B"/>
    <w:rsid w:val="00275282"/>
    <w:rsid w:val="002E56A5"/>
    <w:rsid w:val="002F1C2C"/>
    <w:rsid w:val="002F2E65"/>
    <w:rsid w:val="002F7895"/>
    <w:rsid w:val="00304550"/>
    <w:rsid w:val="003079DC"/>
    <w:rsid w:val="003167F3"/>
    <w:rsid w:val="00316D22"/>
    <w:rsid w:val="00333E6B"/>
    <w:rsid w:val="003708CD"/>
    <w:rsid w:val="00370B66"/>
    <w:rsid w:val="003905E4"/>
    <w:rsid w:val="003B02E3"/>
    <w:rsid w:val="003B65D1"/>
    <w:rsid w:val="003D2599"/>
    <w:rsid w:val="003D3D75"/>
    <w:rsid w:val="003D6097"/>
    <w:rsid w:val="003E6B99"/>
    <w:rsid w:val="003F1D2B"/>
    <w:rsid w:val="003F7F77"/>
    <w:rsid w:val="004078CC"/>
    <w:rsid w:val="0045659B"/>
    <w:rsid w:val="004833E9"/>
    <w:rsid w:val="004B237A"/>
    <w:rsid w:val="004B62D4"/>
    <w:rsid w:val="004B78A7"/>
    <w:rsid w:val="004F1E8B"/>
    <w:rsid w:val="00503E1A"/>
    <w:rsid w:val="00505226"/>
    <w:rsid w:val="00506D2E"/>
    <w:rsid w:val="005070BA"/>
    <w:rsid w:val="00520557"/>
    <w:rsid w:val="00523234"/>
    <w:rsid w:val="00523FA1"/>
    <w:rsid w:val="00531A5B"/>
    <w:rsid w:val="00543FBD"/>
    <w:rsid w:val="00545744"/>
    <w:rsid w:val="00546E21"/>
    <w:rsid w:val="0056479C"/>
    <w:rsid w:val="005726F9"/>
    <w:rsid w:val="00572A25"/>
    <w:rsid w:val="00593433"/>
    <w:rsid w:val="005D1974"/>
    <w:rsid w:val="005D74DE"/>
    <w:rsid w:val="005E463A"/>
    <w:rsid w:val="005F057C"/>
    <w:rsid w:val="005F452B"/>
    <w:rsid w:val="00605597"/>
    <w:rsid w:val="00613B69"/>
    <w:rsid w:val="00647A0C"/>
    <w:rsid w:val="00650971"/>
    <w:rsid w:val="00650EE4"/>
    <w:rsid w:val="0065371B"/>
    <w:rsid w:val="0068104B"/>
    <w:rsid w:val="0069175B"/>
    <w:rsid w:val="006A2FF6"/>
    <w:rsid w:val="006B3C63"/>
    <w:rsid w:val="006E209D"/>
    <w:rsid w:val="006F3EDF"/>
    <w:rsid w:val="00720D31"/>
    <w:rsid w:val="00721D94"/>
    <w:rsid w:val="00732A83"/>
    <w:rsid w:val="0074001A"/>
    <w:rsid w:val="007541D2"/>
    <w:rsid w:val="007709D5"/>
    <w:rsid w:val="00777C77"/>
    <w:rsid w:val="00796222"/>
    <w:rsid w:val="007A11A6"/>
    <w:rsid w:val="007A7A20"/>
    <w:rsid w:val="007B3A91"/>
    <w:rsid w:val="007C6721"/>
    <w:rsid w:val="007C6736"/>
    <w:rsid w:val="007D4EF1"/>
    <w:rsid w:val="008049C0"/>
    <w:rsid w:val="008140C4"/>
    <w:rsid w:val="00816032"/>
    <w:rsid w:val="00823E50"/>
    <w:rsid w:val="00834121"/>
    <w:rsid w:val="008342A9"/>
    <w:rsid w:val="008347C8"/>
    <w:rsid w:val="00842F70"/>
    <w:rsid w:val="0086552A"/>
    <w:rsid w:val="00874F3D"/>
    <w:rsid w:val="00875F9B"/>
    <w:rsid w:val="008872FF"/>
    <w:rsid w:val="008B37D7"/>
    <w:rsid w:val="008C6D96"/>
    <w:rsid w:val="008E3C8F"/>
    <w:rsid w:val="008F4BE4"/>
    <w:rsid w:val="008F526E"/>
    <w:rsid w:val="009003D0"/>
    <w:rsid w:val="009075B6"/>
    <w:rsid w:val="00921D73"/>
    <w:rsid w:val="00944833"/>
    <w:rsid w:val="009656BB"/>
    <w:rsid w:val="009A45DA"/>
    <w:rsid w:val="009D1A3B"/>
    <w:rsid w:val="009D26A6"/>
    <w:rsid w:val="009E079A"/>
    <w:rsid w:val="009F0754"/>
    <w:rsid w:val="00A21D8F"/>
    <w:rsid w:val="00A22B63"/>
    <w:rsid w:val="00A525FA"/>
    <w:rsid w:val="00A73B5B"/>
    <w:rsid w:val="00A92BFC"/>
    <w:rsid w:val="00AE4CB1"/>
    <w:rsid w:val="00AE777A"/>
    <w:rsid w:val="00AF1061"/>
    <w:rsid w:val="00AF15A9"/>
    <w:rsid w:val="00B029C3"/>
    <w:rsid w:val="00B276DE"/>
    <w:rsid w:val="00B317F6"/>
    <w:rsid w:val="00B32D0A"/>
    <w:rsid w:val="00B360BD"/>
    <w:rsid w:val="00B41D5A"/>
    <w:rsid w:val="00B51333"/>
    <w:rsid w:val="00B52207"/>
    <w:rsid w:val="00B53205"/>
    <w:rsid w:val="00B5514A"/>
    <w:rsid w:val="00B57450"/>
    <w:rsid w:val="00B57BB4"/>
    <w:rsid w:val="00B60F1C"/>
    <w:rsid w:val="00B87180"/>
    <w:rsid w:val="00BA578B"/>
    <w:rsid w:val="00BB1766"/>
    <w:rsid w:val="00BB488B"/>
    <w:rsid w:val="00BC59C9"/>
    <w:rsid w:val="00BE0B44"/>
    <w:rsid w:val="00BE1940"/>
    <w:rsid w:val="00C068D6"/>
    <w:rsid w:val="00C104CA"/>
    <w:rsid w:val="00C16B10"/>
    <w:rsid w:val="00C22B12"/>
    <w:rsid w:val="00C710C5"/>
    <w:rsid w:val="00C92C5B"/>
    <w:rsid w:val="00C947FA"/>
    <w:rsid w:val="00CC5B74"/>
    <w:rsid w:val="00CD69E3"/>
    <w:rsid w:val="00CE679F"/>
    <w:rsid w:val="00CE6FCE"/>
    <w:rsid w:val="00CF05DA"/>
    <w:rsid w:val="00CF1954"/>
    <w:rsid w:val="00CF27F1"/>
    <w:rsid w:val="00CF7D5B"/>
    <w:rsid w:val="00D00D40"/>
    <w:rsid w:val="00D039E1"/>
    <w:rsid w:val="00D26F93"/>
    <w:rsid w:val="00D64595"/>
    <w:rsid w:val="00D70342"/>
    <w:rsid w:val="00D70786"/>
    <w:rsid w:val="00D752E2"/>
    <w:rsid w:val="00DA4379"/>
    <w:rsid w:val="00DA4AE2"/>
    <w:rsid w:val="00DB11DD"/>
    <w:rsid w:val="00DB13D5"/>
    <w:rsid w:val="00DB5754"/>
    <w:rsid w:val="00DC6D61"/>
    <w:rsid w:val="00DD3B26"/>
    <w:rsid w:val="00DF4A31"/>
    <w:rsid w:val="00E0252D"/>
    <w:rsid w:val="00E1341E"/>
    <w:rsid w:val="00E44925"/>
    <w:rsid w:val="00E71455"/>
    <w:rsid w:val="00E73553"/>
    <w:rsid w:val="00E840E7"/>
    <w:rsid w:val="00E942D2"/>
    <w:rsid w:val="00E96942"/>
    <w:rsid w:val="00EB193F"/>
    <w:rsid w:val="00EC2A57"/>
    <w:rsid w:val="00ED6E55"/>
    <w:rsid w:val="00EE71A8"/>
    <w:rsid w:val="00EF5991"/>
    <w:rsid w:val="00F50B58"/>
    <w:rsid w:val="00F54F9C"/>
    <w:rsid w:val="00FA1E36"/>
    <w:rsid w:val="00FB2F42"/>
    <w:rsid w:val="00FD208E"/>
    <w:rsid w:val="00FE09E7"/>
    <w:rsid w:val="00FE0E90"/>
    <w:rsid w:val="00FF0684"/>
    <w:rsid w:val="00FF1535"/>
    <w:rsid w:val="00FF1818"/>
    <w:rsid w:val="45624BCB"/>
    <w:rsid w:val="51C85281"/>
    <w:rsid w:val="67BFB038"/>
    <w:rsid w:val="7163372C"/>
    <w:rsid w:val="7BFFB39E"/>
    <w:rsid w:val="7DFD7E23"/>
    <w:rsid w:val="DFFF6200"/>
    <w:rsid w:val="EEECFD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tabs>
        <w:tab w:val="right" w:leader="dot" w:pos="8296"/>
      </w:tabs>
      <w:spacing w:line="360" w:lineRule="auto"/>
    </w:p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qFormat/>
    <w:uiPriority w:val="99"/>
    <w:rPr>
      <w:color w:val="0000FF"/>
      <w:u w:val="single"/>
    </w:rPr>
  </w:style>
  <w:style w:type="character" w:customStyle="1" w:styleId="11">
    <w:name w:val="页脚 字符"/>
    <w:link w:val="5"/>
    <w:qFormat/>
    <w:uiPriority w:val="99"/>
    <w:rPr>
      <w:kern w:val="2"/>
      <w:sz w:val="18"/>
      <w:szCs w:val="18"/>
    </w:rPr>
  </w:style>
  <w:style w:type="character" w:customStyle="1" w:styleId="12">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1350</Characters>
  <Lines>11</Lines>
  <Paragraphs>3</Paragraphs>
  <TotalTime>368</TotalTime>
  <ScaleCrop>false</ScaleCrop>
  <LinksUpToDate>false</LinksUpToDate>
  <CharactersWithSpaces>1583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2018-02-05T15:53:00Z</dcterms:created>
  <dc:creator>dell</dc:creator>
  <cp:lastModifiedBy>user</cp:lastModifiedBy>
  <cp:lastPrinted>2020-01-14T15:43:00Z</cp:lastPrinted>
  <dcterms:modified xsi:type="dcterms:W3CDTF">2024-03-29T15:05:49Z</dcterms:modified>
  <dc:title>标准审计报告参考格式</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